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1D" w:rsidRPr="00A47E30" w:rsidRDefault="003C271D" w:rsidP="003C271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7535C38" wp14:editId="5405D33E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3C271D" w:rsidRPr="00A47E30" w:rsidRDefault="003C271D" w:rsidP="003C271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Gender Studies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3C271D" w:rsidRPr="00A47E30" w:rsidRDefault="003C271D" w:rsidP="003C271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C271D" w:rsidRPr="00A47E30" w:rsidRDefault="003C271D" w:rsidP="003C271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C271D" w:rsidRPr="00A47E30" w:rsidRDefault="003C271D" w:rsidP="003C271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C271D" w:rsidRPr="00636E5C" w:rsidRDefault="003C271D" w:rsidP="003C271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3C271D" w:rsidRPr="002E7040" w:rsidTr="003C271D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C271D" w:rsidRPr="002E7040" w:rsidRDefault="003C271D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C271D" w:rsidRPr="002E7040" w:rsidRDefault="003C271D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C271D" w:rsidRPr="002E7040" w:rsidRDefault="003C271D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C271D" w:rsidRPr="002E7040" w:rsidRDefault="003C271D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C271D" w:rsidRPr="002E7040" w:rsidRDefault="003C271D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3C271D" w:rsidTr="003C271D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3C271D" w:rsidRPr="00A35F3C" w:rsidRDefault="003C271D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3C271D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3C271D" w:rsidRPr="00A35F3C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3C271D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3C271D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3C271D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3C271D" w:rsidRPr="00A35F3C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3C271D" w:rsidRPr="00A35F3C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3C271D" w:rsidRPr="00A35F3C" w:rsidRDefault="003C271D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D94DFC" w:rsidRPr="008201DC" w:rsidRDefault="00D94DFC" w:rsidP="003B0FB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gen010</w:t>
            </w:r>
            <w:r>
              <w:rPr>
                <w:sz w:val="18"/>
                <w:szCs w:val="18"/>
              </w:rPr>
              <w:t xml:space="preserve">: Grundlagen der </w:t>
            </w:r>
            <w:r w:rsidRPr="00BC27AD">
              <w:rPr>
                <w:sz w:val="18"/>
                <w:szCs w:val="18"/>
              </w:rPr>
              <w:t xml:space="preserve">Geschlechterforschung </w:t>
            </w:r>
          </w:p>
        </w:tc>
        <w:tc>
          <w:tcPr>
            <w:tcW w:w="578" w:type="dxa"/>
            <w:vAlign w:val="center"/>
          </w:tcPr>
          <w:p w:rsidR="00D94DFC" w:rsidRPr="00FC6EC9" w:rsidRDefault="00D94DFC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5" w:type="dxa"/>
            <w:vAlign w:val="center"/>
          </w:tcPr>
          <w:p w:rsidR="00D94DFC" w:rsidRPr="00FC6EC9" w:rsidRDefault="00D94DF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gen020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</w:t>
            </w:r>
            <w:r w:rsidRPr="00BC27AD"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:</w:t>
            </w:r>
            <w:r w:rsidRPr="00BC27AD">
              <w:rPr>
                <w:sz w:val="18"/>
                <w:szCs w:val="18"/>
              </w:rPr>
              <w:t xml:space="preserve"> Inter- und transdisziplinäre Perspektiven der Geschlechterforschung </w:t>
            </w:r>
          </w:p>
        </w:tc>
        <w:tc>
          <w:tcPr>
            <w:tcW w:w="578" w:type="dxa"/>
            <w:vAlign w:val="center"/>
          </w:tcPr>
          <w:p w:rsidR="00D94DFC" w:rsidRDefault="00D94DFC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Pr="00FC6EC9" w:rsidRDefault="00D94DF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gen030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</w:t>
            </w:r>
            <w:r w:rsidRPr="00BC27AD">
              <w:rPr>
                <w:sz w:val="18"/>
                <w:szCs w:val="18"/>
              </w:rPr>
              <w:t>032</w:t>
            </w:r>
            <w:r>
              <w:rPr>
                <w:sz w:val="18"/>
                <w:szCs w:val="18"/>
              </w:rPr>
              <w:t>:</w:t>
            </w:r>
            <w:r w:rsidRPr="00BC27AD">
              <w:rPr>
                <w:sz w:val="18"/>
                <w:szCs w:val="18"/>
              </w:rPr>
              <w:t xml:space="preserve"> Gender und Bildung </w:t>
            </w:r>
          </w:p>
        </w:tc>
        <w:tc>
          <w:tcPr>
            <w:tcW w:w="578" w:type="dxa"/>
            <w:vAlign w:val="center"/>
          </w:tcPr>
          <w:p w:rsidR="00D94DFC" w:rsidRDefault="00D94DFC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Pr="00FC6EC9" w:rsidRDefault="00D94DF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gen040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</w:t>
            </w:r>
            <w:r w:rsidRPr="00BC27AD">
              <w:rPr>
                <w:sz w:val="18"/>
                <w:szCs w:val="18"/>
              </w:rPr>
              <w:t>042</w:t>
            </w:r>
            <w:r>
              <w:rPr>
                <w:sz w:val="18"/>
                <w:szCs w:val="18"/>
              </w:rPr>
              <w:t>:</w:t>
            </w:r>
            <w:r w:rsidRPr="00BC27AD">
              <w:rPr>
                <w:sz w:val="18"/>
                <w:szCs w:val="18"/>
              </w:rPr>
              <w:t xml:space="preserve"> Transnational </w:t>
            </w:r>
            <w:proofErr w:type="spellStart"/>
            <w:r w:rsidRPr="00BC27AD">
              <w:rPr>
                <w:sz w:val="18"/>
                <w:szCs w:val="18"/>
              </w:rPr>
              <w:t>Perspectives</w:t>
            </w:r>
            <w:proofErr w:type="spellEnd"/>
            <w:r w:rsidRPr="00BC27AD">
              <w:rPr>
                <w:sz w:val="18"/>
                <w:szCs w:val="18"/>
              </w:rPr>
              <w:t xml:space="preserve"> in Gender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 xml:space="preserve">Studies </w:t>
            </w:r>
          </w:p>
        </w:tc>
        <w:tc>
          <w:tcPr>
            <w:tcW w:w="578" w:type="dxa"/>
            <w:vAlign w:val="center"/>
          </w:tcPr>
          <w:p w:rsidR="00D94DFC" w:rsidRDefault="00D94DFC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D94DFC" w:rsidRPr="008201DC" w:rsidRDefault="00D94DFC" w:rsidP="00201F06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7A766C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gen210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</w:t>
            </w:r>
            <w:r w:rsidRPr="00BC27AD">
              <w:rPr>
                <w:sz w:val="18"/>
                <w:szCs w:val="18"/>
              </w:rPr>
              <w:t>212</w:t>
            </w:r>
            <w:r>
              <w:rPr>
                <w:sz w:val="18"/>
                <w:szCs w:val="18"/>
              </w:rPr>
              <w:t>:</w:t>
            </w:r>
            <w:r w:rsidRPr="00BC27AD">
              <w:rPr>
                <w:sz w:val="18"/>
                <w:szCs w:val="18"/>
              </w:rPr>
              <w:t xml:space="preserve"> Forschendes Lernen in Gender Studies</w:t>
            </w:r>
          </w:p>
        </w:tc>
        <w:tc>
          <w:tcPr>
            <w:tcW w:w="578" w:type="dxa"/>
            <w:vAlign w:val="center"/>
          </w:tcPr>
          <w:p w:rsidR="00D94DFC" w:rsidRDefault="00D94DFC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/>
                <w:noProof/>
                <w:sz w:val="22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gen220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gen222: </w:t>
            </w:r>
            <w:r w:rsidRPr="00BC27AD">
              <w:rPr>
                <w:sz w:val="18"/>
                <w:szCs w:val="18"/>
              </w:rPr>
              <w:t xml:space="preserve">Geschlecht und Moderne </w:t>
            </w:r>
          </w:p>
        </w:tc>
        <w:tc>
          <w:tcPr>
            <w:tcW w:w="578" w:type="dxa"/>
            <w:vAlign w:val="center"/>
          </w:tcPr>
          <w:p w:rsidR="00D94DFC" w:rsidRDefault="00D94DFC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/>
                <w:noProof/>
                <w:sz w:val="22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gen230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gen232: </w:t>
            </w:r>
            <w:r w:rsidRPr="00BC27AD">
              <w:rPr>
                <w:sz w:val="18"/>
                <w:szCs w:val="18"/>
              </w:rPr>
              <w:t xml:space="preserve">Geschlecht und kulturelle Repräsentationen </w:t>
            </w:r>
          </w:p>
        </w:tc>
        <w:tc>
          <w:tcPr>
            <w:tcW w:w="578" w:type="dxa"/>
            <w:vAlign w:val="center"/>
          </w:tcPr>
          <w:p w:rsidR="00D94DFC" w:rsidRDefault="00D94DFC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/>
                <w:noProof/>
                <w:sz w:val="22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gen240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gen242: </w:t>
            </w:r>
            <w:r w:rsidRPr="00BC27AD">
              <w:rPr>
                <w:sz w:val="18"/>
                <w:szCs w:val="18"/>
              </w:rPr>
              <w:t xml:space="preserve">Geschlecht und Ethnizität in materieller und visueller Kultur </w:t>
            </w:r>
          </w:p>
        </w:tc>
        <w:tc>
          <w:tcPr>
            <w:tcW w:w="578" w:type="dxa"/>
            <w:vAlign w:val="center"/>
          </w:tcPr>
          <w:p w:rsidR="00D94DFC" w:rsidRDefault="00D94DFC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/>
                <w:noProof/>
                <w:sz w:val="22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201F06">
            <w:pPr>
              <w:pStyle w:val="Default"/>
              <w:spacing w:after="4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gen250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gen252: </w:t>
            </w:r>
            <w:r w:rsidRPr="00BC27AD">
              <w:rPr>
                <w:sz w:val="18"/>
                <w:szCs w:val="18"/>
              </w:rPr>
              <w:t>Genderkompetenzen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 xml:space="preserve">in Theorie und Praxis </w:t>
            </w:r>
          </w:p>
        </w:tc>
        <w:tc>
          <w:tcPr>
            <w:tcW w:w="578" w:type="dxa"/>
            <w:vAlign w:val="center"/>
          </w:tcPr>
          <w:p w:rsidR="00D94DFC" w:rsidRDefault="00D94DFC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/>
                <w:noProof/>
                <w:sz w:val="22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Pr="00BC27AD" w:rsidRDefault="00D94DFC" w:rsidP="00362FD1">
            <w:pPr>
              <w:pStyle w:val="Default"/>
              <w:spacing w:after="60"/>
              <w:rPr>
                <w:sz w:val="18"/>
                <w:szCs w:val="18"/>
              </w:rPr>
            </w:pPr>
            <w:r w:rsidRPr="00BC27AD">
              <w:rPr>
                <w:sz w:val="18"/>
                <w:szCs w:val="18"/>
              </w:rPr>
              <w:t>gen260</w:t>
            </w:r>
            <w:r>
              <w:rPr>
                <w:sz w:val="18"/>
                <w:szCs w:val="18"/>
              </w:rPr>
              <w:t xml:space="preserve"> </w:t>
            </w:r>
            <w:r w:rsidRPr="00BC27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gen262: </w:t>
            </w:r>
            <w:r w:rsidRPr="00BC27AD">
              <w:rPr>
                <w:sz w:val="18"/>
                <w:szCs w:val="18"/>
              </w:rPr>
              <w:t xml:space="preserve">Freies Modul zur fachlichen Vertiefung </w:t>
            </w:r>
          </w:p>
        </w:tc>
        <w:tc>
          <w:tcPr>
            <w:tcW w:w="578" w:type="dxa"/>
            <w:vAlign w:val="center"/>
          </w:tcPr>
          <w:p w:rsidR="00D94DFC" w:rsidRDefault="00D94DFC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 / 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/>
                <w:noProof/>
                <w:sz w:val="22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D94DFC" w:rsidRPr="008201DC" w:rsidRDefault="00D94DFC" w:rsidP="00F66B4C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D94DFC" w:rsidRPr="00FC6EC9" w:rsidTr="003C27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94DFC" w:rsidRDefault="00D94DF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94DFC" w:rsidRDefault="00D94DFC" w:rsidP="00362FD1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D94DFC" w:rsidRDefault="00D94DFC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94DFC" w:rsidRPr="003C271D" w:rsidRDefault="00D94DFC" w:rsidP="00C308F7">
            <w:pPr>
              <w:spacing w:after="60"/>
              <w:rPr>
                <w:rFonts w:ascii="Arial" w:hAnsi="Arial"/>
                <w:noProof/>
                <w:sz w:val="22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94DFC" w:rsidRPr="003C271D" w:rsidRDefault="00D94DFC" w:rsidP="00C308F7">
            <w:pPr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3C271D" w:rsidRDefault="003C271D" w:rsidP="003C271D">
      <w:pPr>
        <w:rPr>
          <w:rFonts w:ascii="Arial" w:hAnsi="Arial" w:cs="Arial"/>
          <w:sz w:val="20"/>
          <w:szCs w:val="12"/>
        </w:rPr>
      </w:pPr>
    </w:p>
    <w:p w:rsidR="003C271D" w:rsidRPr="00A47E30" w:rsidRDefault="003C271D" w:rsidP="003C271D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3C271D" w:rsidRPr="00A47E30" w:rsidRDefault="003C271D" w:rsidP="003C271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3C271D" w:rsidRPr="00A47E30" w:rsidRDefault="003C271D" w:rsidP="003C271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3C271D" w:rsidRPr="00A47E30" w:rsidRDefault="003C271D" w:rsidP="003C271D">
      <w:pPr>
        <w:rPr>
          <w:rFonts w:ascii="Arial" w:hAnsi="Arial" w:cs="Arial"/>
          <w:sz w:val="20"/>
          <w:szCs w:val="20"/>
        </w:rPr>
      </w:pPr>
    </w:p>
    <w:p w:rsidR="003C271D" w:rsidRPr="00A47E30" w:rsidRDefault="003C271D" w:rsidP="003C271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473275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1"/>
    <w:p w:rsidR="003C271D" w:rsidRDefault="003C271D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3C271D" w:rsidSect="003C271D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1F3C27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72645B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657C94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8Hi0ZdVBosgRpRBnmV5Ez3QU4hsYN7do6UPa9s9M9VmrXlOuwzjzpmtxBQRH6KDMxYo2SrqwP/fRKean6KZA==" w:salt="mJtqt3QRHWy57jOSD6UD+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82E9A"/>
    <w:rsid w:val="000D7862"/>
    <w:rsid w:val="000E5C46"/>
    <w:rsid w:val="00126355"/>
    <w:rsid w:val="0013500F"/>
    <w:rsid w:val="00135DBF"/>
    <w:rsid w:val="00143082"/>
    <w:rsid w:val="0017678A"/>
    <w:rsid w:val="0018682A"/>
    <w:rsid w:val="00187017"/>
    <w:rsid w:val="001E6408"/>
    <w:rsid w:val="001F3C27"/>
    <w:rsid w:val="001F63A0"/>
    <w:rsid w:val="00201F06"/>
    <w:rsid w:val="00233076"/>
    <w:rsid w:val="00251441"/>
    <w:rsid w:val="0025420A"/>
    <w:rsid w:val="00261230"/>
    <w:rsid w:val="00274FFA"/>
    <w:rsid w:val="00281CBB"/>
    <w:rsid w:val="002A6706"/>
    <w:rsid w:val="002C6E85"/>
    <w:rsid w:val="002D1BCF"/>
    <w:rsid w:val="002D6ADC"/>
    <w:rsid w:val="003116C5"/>
    <w:rsid w:val="00334BBB"/>
    <w:rsid w:val="00351EE1"/>
    <w:rsid w:val="00362FD1"/>
    <w:rsid w:val="00392F2D"/>
    <w:rsid w:val="003C271D"/>
    <w:rsid w:val="003D48FB"/>
    <w:rsid w:val="003E5EEF"/>
    <w:rsid w:val="00415646"/>
    <w:rsid w:val="00423EC1"/>
    <w:rsid w:val="004343F0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57C94"/>
    <w:rsid w:val="006658BB"/>
    <w:rsid w:val="00690818"/>
    <w:rsid w:val="006C025E"/>
    <w:rsid w:val="00700240"/>
    <w:rsid w:val="0072645B"/>
    <w:rsid w:val="0074709E"/>
    <w:rsid w:val="00747166"/>
    <w:rsid w:val="00775C17"/>
    <w:rsid w:val="00780A3C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05CF"/>
    <w:rsid w:val="00CF4092"/>
    <w:rsid w:val="00D21627"/>
    <w:rsid w:val="00D2631B"/>
    <w:rsid w:val="00D40A02"/>
    <w:rsid w:val="00D65CDD"/>
    <w:rsid w:val="00D94DFC"/>
    <w:rsid w:val="00DA34DE"/>
    <w:rsid w:val="00DA7443"/>
    <w:rsid w:val="00DC427B"/>
    <w:rsid w:val="00DD52F2"/>
    <w:rsid w:val="00DF0DFA"/>
    <w:rsid w:val="00DF498D"/>
    <w:rsid w:val="00DF5778"/>
    <w:rsid w:val="00DF6901"/>
    <w:rsid w:val="00E42A9E"/>
    <w:rsid w:val="00E43EE6"/>
    <w:rsid w:val="00E56239"/>
    <w:rsid w:val="00E60D85"/>
    <w:rsid w:val="00EB6D5C"/>
    <w:rsid w:val="00EC73FC"/>
    <w:rsid w:val="00F01C68"/>
    <w:rsid w:val="00F10C3A"/>
    <w:rsid w:val="00F232E5"/>
    <w:rsid w:val="00F242B9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FB1EADC-17F9-4F8A-A3A3-8DA1401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AC1C-C23B-4742-917E-51AD38A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2018-12-19T10:35:00Z</cp:lastPrinted>
  <dcterms:created xsi:type="dcterms:W3CDTF">2022-02-11T16:33:00Z</dcterms:created>
  <dcterms:modified xsi:type="dcterms:W3CDTF">2023-01-26T14:49:00Z</dcterms:modified>
</cp:coreProperties>
</file>